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DE67" w14:textId="6CB29087" w:rsidR="00004B6A" w:rsidRPr="003E1EBE" w:rsidRDefault="00806084" w:rsidP="00C800B6">
      <w:pPr>
        <w:pStyle w:val="Kop2"/>
      </w:pPr>
      <w:bookmarkStart w:id="0" w:name="_Toc141689210"/>
      <w:r>
        <w:t>LPAV</w:t>
      </w:r>
      <w:bookmarkEnd w:id="0"/>
    </w:p>
    <w:p w14:paraId="49DDEB96" w14:textId="77777777" w:rsidR="00004B6A" w:rsidRDefault="00004B6A" w:rsidP="00C800B6">
      <w:pPr>
        <w:spacing w:after="0"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F2F2F2" w:themeFill="background1" w:themeFillShade="F2"/>
        <w:tblLayout w:type="fixed"/>
        <w:tblLook w:val="04A0" w:firstRow="1" w:lastRow="0" w:firstColumn="1" w:lastColumn="0" w:noHBand="0" w:noVBand="1"/>
      </w:tblPr>
      <w:tblGrid>
        <w:gridCol w:w="3399"/>
        <w:gridCol w:w="3402"/>
        <w:gridCol w:w="3402"/>
        <w:gridCol w:w="3402"/>
      </w:tblGrid>
      <w:tr w:rsidR="00004B6A" w14:paraId="40D01EB1" w14:textId="77777777" w:rsidTr="00C800B6">
        <w:tc>
          <w:tcPr>
            <w:tcW w:w="3399" w:type="dxa"/>
            <w:tcBorders>
              <w:bottom w:val="nil"/>
            </w:tcBorders>
            <w:shd w:val="clear" w:color="auto" w:fill="F2F2F2" w:themeFill="background1" w:themeFillShade="F2"/>
          </w:tcPr>
          <w:p w14:paraId="61A3AEFC" w14:textId="77777777" w:rsidR="00004B6A" w:rsidRDefault="00004B6A" w:rsidP="00C800B6">
            <w:pPr>
              <w:spacing w:after="0" w:line="240" w:lineRule="auto"/>
              <w:jc w:val="center"/>
            </w:pPr>
            <w:r>
              <w:rPr>
                <w:noProof/>
                <w:lang w:eastAsia="nl-NL"/>
              </w:rPr>
              <w:drawing>
                <wp:inline distT="0" distB="0" distL="0" distR="0" wp14:anchorId="0ADBC615" wp14:editId="2C4AD0B2">
                  <wp:extent cx="914400" cy="914400"/>
                  <wp:effectExtent l="0" t="0" r="0" b="0"/>
                  <wp:docPr id="32" name="Graphic 32"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Checklist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
                              </a:ext>
                            </a:extLst>
                          </a:blip>
                          <a:stretch>
                            <a:fillRect/>
                          </a:stretch>
                        </pic:blipFill>
                        <pic:spPr>
                          <a:xfrm>
                            <a:off x="0" y="0"/>
                            <a:ext cx="914400" cy="914400"/>
                          </a:xfrm>
                          <a:prstGeom prst="rect">
                            <a:avLst/>
                          </a:prstGeom>
                        </pic:spPr>
                      </pic:pic>
                    </a:graphicData>
                  </a:graphic>
                </wp:inline>
              </w:drawing>
            </w:r>
          </w:p>
        </w:tc>
        <w:tc>
          <w:tcPr>
            <w:tcW w:w="3402" w:type="dxa"/>
            <w:tcBorders>
              <w:bottom w:val="nil"/>
            </w:tcBorders>
            <w:shd w:val="clear" w:color="auto" w:fill="F2F2F2" w:themeFill="background1" w:themeFillShade="F2"/>
          </w:tcPr>
          <w:p w14:paraId="5F7CDD0D" w14:textId="77777777" w:rsidR="00004B6A" w:rsidRDefault="00004B6A" w:rsidP="00C800B6">
            <w:pPr>
              <w:spacing w:after="0" w:line="240" w:lineRule="auto"/>
              <w:jc w:val="center"/>
            </w:pPr>
            <w:r>
              <w:rPr>
                <w:noProof/>
                <w:lang w:eastAsia="nl-NL"/>
              </w:rPr>
              <w:drawing>
                <wp:inline distT="0" distB="0" distL="0" distR="0" wp14:anchorId="4D3517ED" wp14:editId="08E3C215">
                  <wp:extent cx="914400" cy="914400"/>
                  <wp:effectExtent l="0" t="0" r="0" b="0"/>
                  <wp:docPr id="33" name="Graphic 3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Questions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914400" cy="914400"/>
                          </a:xfrm>
                          <a:prstGeom prst="rect">
                            <a:avLst/>
                          </a:prstGeom>
                        </pic:spPr>
                      </pic:pic>
                    </a:graphicData>
                  </a:graphic>
                </wp:inline>
              </w:drawing>
            </w:r>
          </w:p>
        </w:tc>
        <w:tc>
          <w:tcPr>
            <w:tcW w:w="3402" w:type="dxa"/>
            <w:tcBorders>
              <w:bottom w:val="nil"/>
            </w:tcBorders>
            <w:shd w:val="clear" w:color="auto" w:fill="F2F2F2" w:themeFill="background1" w:themeFillShade="F2"/>
          </w:tcPr>
          <w:p w14:paraId="54391DF4" w14:textId="77777777" w:rsidR="00004B6A" w:rsidRDefault="00004B6A" w:rsidP="00C800B6">
            <w:pPr>
              <w:spacing w:after="0" w:line="240" w:lineRule="auto"/>
              <w:jc w:val="center"/>
            </w:pPr>
            <w:r>
              <w:rPr>
                <w:noProof/>
                <w:lang w:eastAsia="nl-NL"/>
              </w:rPr>
              <w:drawing>
                <wp:inline distT="0" distB="0" distL="0" distR="0" wp14:anchorId="24995115" wp14:editId="28C867F9">
                  <wp:extent cx="914400" cy="914400"/>
                  <wp:effectExtent l="0" t="0" r="0" b="0"/>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914400" cy="914400"/>
                          </a:xfrm>
                          <a:prstGeom prst="rect">
                            <a:avLst/>
                          </a:prstGeom>
                        </pic:spPr>
                      </pic:pic>
                    </a:graphicData>
                  </a:graphic>
                </wp:inline>
              </w:drawing>
            </w:r>
          </w:p>
        </w:tc>
        <w:tc>
          <w:tcPr>
            <w:tcW w:w="3402" w:type="dxa"/>
            <w:tcBorders>
              <w:bottom w:val="nil"/>
            </w:tcBorders>
            <w:shd w:val="clear" w:color="auto" w:fill="F2F2F2" w:themeFill="background1" w:themeFillShade="F2"/>
          </w:tcPr>
          <w:p w14:paraId="2E3EF880" w14:textId="77777777" w:rsidR="00004B6A" w:rsidRDefault="00004B6A" w:rsidP="00C800B6">
            <w:pPr>
              <w:spacing w:after="0" w:line="240" w:lineRule="auto"/>
              <w:jc w:val="center"/>
            </w:pPr>
            <w:r>
              <w:rPr>
                <w:noProof/>
                <w:lang w:eastAsia="nl-NL"/>
              </w:rPr>
              <w:drawing>
                <wp:inline distT="0" distB="0" distL="0" distR="0" wp14:anchorId="2B499107" wp14:editId="404D7DA7">
                  <wp:extent cx="914400" cy="914400"/>
                  <wp:effectExtent l="0" t="0" r="0" b="0"/>
                  <wp:docPr id="35" name="Graphic 35" descr="Play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Playboo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914400" cy="914400"/>
                          </a:xfrm>
                          <a:prstGeom prst="rect">
                            <a:avLst/>
                          </a:prstGeom>
                        </pic:spPr>
                      </pic:pic>
                    </a:graphicData>
                  </a:graphic>
                </wp:inline>
              </w:drawing>
            </w:r>
          </w:p>
        </w:tc>
      </w:tr>
      <w:tr w:rsidR="00004B6A" w:rsidRPr="0059739C" w14:paraId="0F22099C" w14:textId="77777777" w:rsidTr="00C800B6">
        <w:tc>
          <w:tcPr>
            <w:tcW w:w="3399" w:type="dxa"/>
            <w:tcBorders>
              <w:bottom w:val="single" w:sz="24" w:space="0" w:color="FFFFFF" w:themeColor="background1"/>
            </w:tcBorders>
            <w:shd w:val="clear" w:color="auto" w:fill="F2F2F2" w:themeFill="background1" w:themeFillShade="F2"/>
          </w:tcPr>
          <w:p w14:paraId="0B363E20" w14:textId="5F92B9FB" w:rsidR="00004B6A" w:rsidRPr="0059739C" w:rsidRDefault="00004B6A" w:rsidP="00C800B6">
            <w:pPr>
              <w:spacing w:after="0" w:line="240" w:lineRule="auto"/>
              <w:jc w:val="center"/>
              <w:rPr>
                <w:b/>
                <w:bCs/>
                <w:sz w:val="28"/>
                <w:szCs w:val="28"/>
              </w:rPr>
            </w:pPr>
            <w:r w:rsidRPr="0059739C">
              <w:rPr>
                <w:b/>
                <w:bCs/>
                <w:sz w:val="28"/>
                <w:szCs w:val="28"/>
              </w:rPr>
              <w:t>Plannen en acties 202</w:t>
            </w:r>
            <w:r w:rsidR="00835E5E">
              <w:rPr>
                <w:b/>
                <w:bCs/>
                <w:sz w:val="28"/>
                <w:szCs w:val="28"/>
              </w:rPr>
              <w:t>3</w:t>
            </w:r>
          </w:p>
        </w:tc>
        <w:tc>
          <w:tcPr>
            <w:tcW w:w="3402" w:type="dxa"/>
            <w:tcBorders>
              <w:bottom w:val="single" w:sz="24" w:space="0" w:color="FFFFFF" w:themeColor="background1"/>
            </w:tcBorders>
            <w:shd w:val="clear" w:color="auto" w:fill="F2F2F2" w:themeFill="background1" w:themeFillShade="F2"/>
          </w:tcPr>
          <w:p w14:paraId="3AFA1297" w14:textId="62CBC627" w:rsidR="00004B6A" w:rsidRPr="0059739C" w:rsidRDefault="00004B6A" w:rsidP="00C800B6">
            <w:pPr>
              <w:spacing w:after="0" w:line="240" w:lineRule="auto"/>
              <w:jc w:val="center"/>
              <w:rPr>
                <w:b/>
                <w:bCs/>
                <w:sz w:val="28"/>
                <w:szCs w:val="28"/>
              </w:rPr>
            </w:pPr>
            <w:r w:rsidRPr="0059739C">
              <w:rPr>
                <w:b/>
                <w:bCs/>
                <w:sz w:val="28"/>
                <w:szCs w:val="28"/>
              </w:rPr>
              <w:t>Wat is er gedaan in 202</w:t>
            </w:r>
            <w:r w:rsidR="00835E5E">
              <w:rPr>
                <w:b/>
                <w:bCs/>
                <w:sz w:val="28"/>
                <w:szCs w:val="28"/>
              </w:rPr>
              <w:t>3</w:t>
            </w:r>
          </w:p>
        </w:tc>
        <w:tc>
          <w:tcPr>
            <w:tcW w:w="3402" w:type="dxa"/>
            <w:tcBorders>
              <w:bottom w:val="single" w:sz="24" w:space="0" w:color="FFFFFF" w:themeColor="background1"/>
            </w:tcBorders>
            <w:shd w:val="clear" w:color="auto" w:fill="F2F2F2" w:themeFill="background1" w:themeFillShade="F2"/>
          </w:tcPr>
          <w:p w14:paraId="26A7F0D7" w14:textId="77777777" w:rsidR="00004B6A" w:rsidRPr="0059739C" w:rsidRDefault="00004B6A" w:rsidP="00C800B6">
            <w:pPr>
              <w:spacing w:after="0" w:line="240" w:lineRule="auto"/>
              <w:jc w:val="center"/>
              <w:rPr>
                <w:b/>
                <w:bCs/>
                <w:sz w:val="28"/>
                <w:szCs w:val="28"/>
              </w:rPr>
            </w:pPr>
            <w:r w:rsidRPr="0059739C">
              <w:rPr>
                <w:b/>
                <w:bCs/>
                <w:sz w:val="28"/>
                <w:szCs w:val="28"/>
              </w:rPr>
              <w:t>Evaluatie van de resultaten</w:t>
            </w:r>
          </w:p>
        </w:tc>
        <w:tc>
          <w:tcPr>
            <w:tcW w:w="3402" w:type="dxa"/>
            <w:tcBorders>
              <w:bottom w:val="single" w:sz="24" w:space="0" w:color="FFFFFF" w:themeColor="background1"/>
            </w:tcBorders>
            <w:shd w:val="clear" w:color="auto" w:fill="F2F2F2" w:themeFill="background1" w:themeFillShade="F2"/>
          </w:tcPr>
          <w:p w14:paraId="13CF349C" w14:textId="76280A9C" w:rsidR="00004B6A" w:rsidRPr="0059739C" w:rsidRDefault="00004B6A" w:rsidP="00C800B6">
            <w:pPr>
              <w:spacing w:after="0" w:line="240" w:lineRule="auto"/>
              <w:jc w:val="center"/>
              <w:rPr>
                <w:b/>
                <w:bCs/>
                <w:sz w:val="28"/>
                <w:szCs w:val="28"/>
              </w:rPr>
            </w:pPr>
            <w:r w:rsidRPr="0059739C">
              <w:rPr>
                <w:b/>
                <w:bCs/>
                <w:sz w:val="28"/>
                <w:szCs w:val="28"/>
              </w:rPr>
              <w:t>Plannen voor 202</w:t>
            </w:r>
            <w:r w:rsidR="00835E5E">
              <w:rPr>
                <w:b/>
                <w:bCs/>
                <w:sz w:val="28"/>
                <w:szCs w:val="28"/>
              </w:rPr>
              <w:t>4</w:t>
            </w:r>
          </w:p>
        </w:tc>
      </w:tr>
      <w:tr w:rsidR="00004B6A" w14:paraId="1969CCA0" w14:textId="77777777" w:rsidTr="00C800B6">
        <w:trPr>
          <w:trHeight w:val="6180"/>
        </w:trPr>
        <w:tc>
          <w:tcPr>
            <w:tcW w:w="3399" w:type="dxa"/>
            <w:tcBorders>
              <w:top w:val="single" w:sz="24" w:space="0" w:color="FFFFFF" w:themeColor="background1"/>
            </w:tcBorders>
            <w:shd w:val="clear" w:color="auto" w:fill="F2F2F2" w:themeFill="background1" w:themeFillShade="F2"/>
          </w:tcPr>
          <w:p w14:paraId="4F5B7231" w14:textId="78BDFA82" w:rsidR="00835E5E" w:rsidRDefault="00893898" w:rsidP="00835E5E">
            <w:pPr>
              <w:spacing w:after="0" w:line="240" w:lineRule="auto"/>
            </w:pPr>
            <w:r>
              <w:t>Actieve monitoring van het nieuwe opleidingsplan</w:t>
            </w:r>
          </w:p>
          <w:p w14:paraId="48D476D8" w14:textId="77777777" w:rsidR="00893898" w:rsidRDefault="00893898" w:rsidP="00835E5E">
            <w:pPr>
              <w:spacing w:after="0" w:line="240" w:lineRule="auto"/>
            </w:pPr>
          </w:p>
          <w:p w14:paraId="312B913D" w14:textId="77777777" w:rsidR="00893898" w:rsidRDefault="00893898" w:rsidP="00893898">
            <w:pPr>
              <w:spacing w:after="0" w:line="240" w:lineRule="auto"/>
            </w:pPr>
            <w:r>
              <w:t>Doorlopende inventarisatie jonge klaren problematiek voor commissie beroepsbelangen (CBB)</w:t>
            </w:r>
          </w:p>
          <w:p w14:paraId="5971EE8A" w14:textId="77777777" w:rsidR="00893898" w:rsidRDefault="00893898" w:rsidP="00835E5E">
            <w:pPr>
              <w:spacing w:after="0" w:line="240" w:lineRule="auto"/>
            </w:pPr>
          </w:p>
          <w:p w14:paraId="5B0C9A30" w14:textId="527077FC" w:rsidR="00893898" w:rsidRDefault="00893898" w:rsidP="00835E5E">
            <w:pPr>
              <w:spacing w:after="0" w:line="240" w:lineRule="auto"/>
            </w:pPr>
            <w:r>
              <w:t>11-02-23: DOO ‘Duurzaamheid in de zorg’</w:t>
            </w:r>
          </w:p>
          <w:p w14:paraId="0968717D" w14:textId="77777777" w:rsidR="00893898" w:rsidRDefault="00893898" w:rsidP="00835E5E">
            <w:pPr>
              <w:spacing w:after="0" w:line="240" w:lineRule="auto"/>
            </w:pPr>
          </w:p>
          <w:p w14:paraId="6C47918D" w14:textId="005876F4" w:rsidR="00893898" w:rsidRDefault="00893898" w:rsidP="00835E5E">
            <w:pPr>
              <w:spacing w:after="0" w:line="240" w:lineRule="auto"/>
            </w:pPr>
            <w:r>
              <w:t>13-04-23: voorjaarscursus tijdens de Week van de Pathologie</w:t>
            </w:r>
            <w:r w:rsidR="00795FB6">
              <w:t xml:space="preserve"> (WvdP)</w:t>
            </w:r>
            <w:r>
              <w:t>: ‘Dentogene cysten en tumoren’ en ‘Hoofd-hals cytologie’</w:t>
            </w:r>
          </w:p>
          <w:p w14:paraId="3E3A4B87" w14:textId="77777777" w:rsidR="00893898" w:rsidRDefault="00893898" w:rsidP="00835E5E">
            <w:pPr>
              <w:spacing w:after="0" w:line="240" w:lineRule="auto"/>
            </w:pPr>
          </w:p>
          <w:p w14:paraId="39DBB070" w14:textId="5CC565A1" w:rsidR="00893898" w:rsidRDefault="00893898" w:rsidP="00835E5E">
            <w:pPr>
              <w:spacing w:after="0" w:line="240" w:lineRule="auto"/>
            </w:pPr>
            <w:r>
              <w:t>04-11-23: najaarscursus ‘Small blue round cell tumoren’ (kinderoncologie en hoofd-halspathologie)</w:t>
            </w:r>
          </w:p>
          <w:p w14:paraId="1FEB71AE" w14:textId="77777777" w:rsidR="00893898" w:rsidRDefault="00893898" w:rsidP="00835E5E">
            <w:pPr>
              <w:spacing w:after="0" w:line="240" w:lineRule="auto"/>
            </w:pPr>
          </w:p>
          <w:p w14:paraId="6E67D063" w14:textId="77777777" w:rsidR="00893898" w:rsidRDefault="00893898" w:rsidP="00835E5E">
            <w:pPr>
              <w:spacing w:after="0" w:line="240" w:lineRule="auto"/>
            </w:pPr>
          </w:p>
          <w:p w14:paraId="47B77C3C" w14:textId="3F488CCB" w:rsidR="00782002" w:rsidRDefault="00782002" w:rsidP="00835E5E">
            <w:pPr>
              <w:spacing w:after="0" w:line="240" w:lineRule="auto"/>
            </w:pPr>
          </w:p>
        </w:tc>
        <w:tc>
          <w:tcPr>
            <w:tcW w:w="3402" w:type="dxa"/>
            <w:tcBorders>
              <w:top w:val="single" w:sz="24" w:space="0" w:color="FFFFFF" w:themeColor="background1"/>
            </w:tcBorders>
            <w:shd w:val="clear" w:color="auto" w:fill="F2F2F2" w:themeFill="background1" w:themeFillShade="F2"/>
          </w:tcPr>
          <w:p w14:paraId="3E5A6940" w14:textId="77777777" w:rsidR="00004B6A" w:rsidRDefault="00893898" w:rsidP="00C800B6">
            <w:pPr>
              <w:spacing w:after="0" w:line="240" w:lineRule="auto"/>
            </w:pPr>
            <w:r>
              <w:t>Zie ook ‘Plannen en acties 2023’</w:t>
            </w:r>
          </w:p>
          <w:p w14:paraId="09513C22" w14:textId="77777777" w:rsidR="00893898" w:rsidRDefault="00893898" w:rsidP="00C800B6">
            <w:pPr>
              <w:spacing w:after="0" w:line="240" w:lineRule="auto"/>
            </w:pPr>
          </w:p>
          <w:p w14:paraId="1E4D864A" w14:textId="77777777" w:rsidR="00893898" w:rsidRDefault="00893898" w:rsidP="00893898">
            <w:pPr>
              <w:spacing w:after="0" w:line="240" w:lineRule="auto"/>
            </w:pPr>
            <w:r>
              <w:t>Ondertekening brandbrief DJS aan Stichting BOLS omtrent de verdeling van opleidingsplaatsen o.b.v. adherentie</w:t>
            </w:r>
          </w:p>
          <w:p w14:paraId="38339878" w14:textId="77777777" w:rsidR="00795FB6" w:rsidRDefault="00795FB6" w:rsidP="00893898">
            <w:pPr>
              <w:spacing w:after="0" w:line="240" w:lineRule="auto"/>
            </w:pPr>
          </w:p>
          <w:p w14:paraId="689B884E" w14:textId="31C90F40" w:rsidR="00501292" w:rsidRDefault="00795FB6" w:rsidP="00893898">
            <w:pPr>
              <w:spacing w:after="0" w:line="240" w:lineRule="auto"/>
            </w:pPr>
            <w:r>
              <w:t>8 bestuursvergaderingen, waarvan 3 fysiek</w:t>
            </w:r>
          </w:p>
          <w:p w14:paraId="3826F846" w14:textId="77777777" w:rsidR="006726D2" w:rsidRDefault="006726D2" w:rsidP="00893898">
            <w:pPr>
              <w:spacing w:after="0" w:line="240" w:lineRule="auto"/>
            </w:pPr>
          </w:p>
          <w:p w14:paraId="19DA7D4C" w14:textId="77777777" w:rsidR="006726D2" w:rsidRDefault="006726D2" w:rsidP="006726D2">
            <w:pPr>
              <w:spacing w:after="0" w:line="240" w:lineRule="auto"/>
            </w:pPr>
            <w:r>
              <w:t>21-03-23: periodiek overleg NVVP</w:t>
            </w:r>
          </w:p>
          <w:p w14:paraId="1C3553D6" w14:textId="77777777" w:rsidR="00893898" w:rsidRDefault="00893898" w:rsidP="00893898">
            <w:pPr>
              <w:spacing w:after="0" w:line="240" w:lineRule="auto"/>
            </w:pPr>
          </w:p>
          <w:p w14:paraId="0E640576" w14:textId="37FC453A" w:rsidR="00893898" w:rsidRDefault="00893898" w:rsidP="00893898">
            <w:pPr>
              <w:spacing w:after="0" w:line="240" w:lineRule="auto"/>
            </w:pPr>
            <w:r w:rsidRPr="00893898">
              <w:t>De LPAV is aanspreekpunt voor de delegatie van AIOS in de landelijke visitatiecommissie.</w:t>
            </w:r>
          </w:p>
          <w:p w14:paraId="59470D5A" w14:textId="77777777" w:rsidR="00893898" w:rsidRDefault="00893898" w:rsidP="00893898">
            <w:pPr>
              <w:spacing w:after="0" w:line="240" w:lineRule="auto"/>
            </w:pPr>
          </w:p>
          <w:p w14:paraId="7F5BA748" w14:textId="77777777" w:rsidR="00893898" w:rsidRDefault="00893898" w:rsidP="00893898">
            <w:pPr>
              <w:spacing w:after="0" w:line="240" w:lineRule="auto"/>
            </w:pPr>
            <w:r>
              <w:t>09-06-23: deelname bestuur aan Teamdag Junior Besturen van DJS</w:t>
            </w:r>
          </w:p>
          <w:p w14:paraId="6FE12D52" w14:textId="77777777" w:rsidR="00893898" w:rsidRDefault="00893898" w:rsidP="00893898">
            <w:pPr>
              <w:spacing w:after="0" w:line="240" w:lineRule="auto"/>
            </w:pPr>
          </w:p>
          <w:p w14:paraId="34B4F285" w14:textId="77777777" w:rsidR="00893898" w:rsidRDefault="00893898" w:rsidP="00893898">
            <w:pPr>
              <w:spacing w:after="0" w:line="240" w:lineRule="auto"/>
            </w:pPr>
            <w:r>
              <w:t>19-09-23: deelname NVVP-beleidsdag</w:t>
            </w:r>
          </w:p>
          <w:p w14:paraId="59E80281" w14:textId="77777777" w:rsidR="00893898" w:rsidRDefault="00893898" w:rsidP="00893898">
            <w:pPr>
              <w:spacing w:after="0" w:line="240" w:lineRule="auto"/>
            </w:pPr>
          </w:p>
          <w:p w14:paraId="2CC055F4" w14:textId="497501E3" w:rsidR="00893898" w:rsidRDefault="00893898" w:rsidP="00C800B6">
            <w:pPr>
              <w:spacing w:after="0" w:line="240" w:lineRule="auto"/>
            </w:pPr>
            <w:bookmarkStart w:id="1" w:name="_GoBack"/>
            <w:bookmarkEnd w:id="1"/>
          </w:p>
        </w:tc>
        <w:tc>
          <w:tcPr>
            <w:tcW w:w="3402" w:type="dxa"/>
            <w:tcBorders>
              <w:top w:val="single" w:sz="24" w:space="0" w:color="FFFFFF" w:themeColor="background1"/>
            </w:tcBorders>
            <w:shd w:val="clear" w:color="auto" w:fill="F2F2F2" w:themeFill="background1" w:themeFillShade="F2"/>
          </w:tcPr>
          <w:p w14:paraId="17861721" w14:textId="77777777" w:rsidR="00004B6A" w:rsidRDefault="00795FB6" w:rsidP="00C800B6">
            <w:pPr>
              <w:spacing w:after="0" w:line="240" w:lineRule="auto"/>
            </w:pPr>
            <w:r>
              <w:t>Zowel de DOO, de voorjaarscursus (tijdens de WvdP) en de najaarscursus waren goed bezocht en kregen goede kritieken</w:t>
            </w:r>
          </w:p>
          <w:p w14:paraId="32FD3C3A" w14:textId="77777777" w:rsidR="00795FB6" w:rsidRDefault="00795FB6" w:rsidP="00C800B6">
            <w:pPr>
              <w:spacing w:after="0" w:line="240" w:lineRule="auto"/>
            </w:pPr>
          </w:p>
          <w:p w14:paraId="45F2ABA1" w14:textId="6E5A4343" w:rsidR="00795FB6" w:rsidRDefault="00795FB6" w:rsidP="00C800B6">
            <w:pPr>
              <w:spacing w:after="0" w:line="240" w:lineRule="auto"/>
            </w:pPr>
            <w:r>
              <w:t>De ervaringen rondom de organisatie van de WvdP, waarbij autonomie rondom de organisatie en de toegankelijkheid voor AIOS belangrijk zijn voor de LPAV, zijn op een goede manier geëvalueerd met het bestuur van de NVVP tijdens het periodiek overleg</w:t>
            </w:r>
          </w:p>
          <w:p w14:paraId="22AB2ABF" w14:textId="77777777" w:rsidR="00795FB6" w:rsidRDefault="00795FB6" w:rsidP="00C800B6">
            <w:pPr>
              <w:spacing w:after="0" w:line="240" w:lineRule="auto"/>
            </w:pPr>
          </w:p>
          <w:p w14:paraId="0A0FF973" w14:textId="132F98D5" w:rsidR="00795FB6" w:rsidRDefault="00795FB6" w:rsidP="00C800B6">
            <w:pPr>
              <w:spacing w:after="0" w:line="240" w:lineRule="auto"/>
            </w:pPr>
            <w:r>
              <w:t>ALV en deel van de vergaderingen zijn fysie</w:t>
            </w:r>
            <w:r w:rsidR="00572366">
              <w:t>k</w:t>
            </w:r>
            <w:r>
              <w:t>, wat de banden binnen het bestuur bevordert</w:t>
            </w:r>
          </w:p>
          <w:p w14:paraId="36BDB21A" w14:textId="77777777" w:rsidR="00572366" w:rsidRDefault="00572366" w:rsidP="00C800B6">
            <w:pPr>
              <w:spacing w:after="0" w:line="240" w:lineRule="auto"/>
            </w:pPr>
          </w:p>
          <w:p w14:paraId="3E8C2D9A" w14:textId="77777777" w:rsidR="00572366" w:rsidRDefault="00572366" w:rsidP="00C800B6">
            <w:pPr>
              <w:spacing w:after="0" w:line="240" w:lineRule="auto"/>
            </w:pPr>
          </w:p>
          <w:p w14:paraId="7196860B" w14:textId="77777777" w:rsidR="00795FB6" w:rsidRDefault="00795FB6" w:rsidP="00C800B6">
            <w:pPr>
              <w:spacing w:after="0" w:line="240" w:lineRule="auto"/>
            </w:pPr>
          </w:p>
          <w:p w14:paraId="64E328F6" w14:textId="77777777" w:rsidR="00795FB6" w:rsidRDefault="00795FB6" w:rsidP="00C800B6">
            <w:pPr>
              <w:spacing w:after="0" w:line="240" w:lineRule="auto"/>
            </w:pPr>
          </w:p>
          <w:p w14:paraId="3BD865F6" w14:textId="2D92E084" w:rsidR="00795FB6" w:rsidRDefault="00795FB6" w:rsidP="00C800B6">
            <w:pPr>
              <w:spacing w:after="0" w:line="240" w:lineRule="auto"/>
            </w:pPr>
          </w:p>
        </w:tc>
        <w:tc>
          <w:tcPr>
            <w:tcW w:w="3402" w:type="dxa"/>
            <w:tcBorders>
              <w:top w:val="single" w:sz="24" w:space="0" w:color="FFFFFF" w:themeColor="background1"/>
            </w:tcBorders>
            <w:shd w:val="clear" w:color="auto" w:fill="F2F2F2" w:themeFill="background1" w:themeFillShade="F2"/>
          </w:tcPr>
          <w:p w14:paraId="76FD5DBC" w14:textId="77777777" w:rsidR="00004B6A" w:rsidRDefault="00572366" w:rsidP="00C800B6">
            <w:pPr>
              <w:spacing w:after="0" w:line="240" w:lineRule="auto"/>
            </w:pPr>
            <w:r>
              <w:t>Continueren van monitoring omtrent de voortgang van het nieuwe opleidingsplan</w:t>
            </w:r>
          </w:p>
          <w:p w14:paraId="717F14E7" w14:textId="77777777" w:rsidR="00572366" w:rsidRDefault="00572366" w:rsidP="00C800B6">
            <w:pPr>
              <w:spacing w:after="0" w:line="240" w:lineRule="auto"/>
            </w:pPr>
          </w:p>
          <w:p w14:paraId="3351CEF1" w14:textId="77777777" w:rsidR="00572366" w:rsidRDefault="00572366" w:rsidP="00572366">
            <w:pPr>
              <w:spacing w:after="0" w:line="240" w:lineRule="auto"/>
            </w:pPr>
            <w:r>
              <w:t>Doorlopende inventarisatie jonge klaren problematiek voor commissie beroepsbelangen (CBB)</w:t>
            </w:r>
          </w:p>
          <w:p w14:paraId="5F431022" w14:textId="77777777" w:rsidR="00572366" w:rsidRDefault="00572366" w:rsidP="00572366">
            <w:pPr>
              <w:spacing w:after="0" w:line="240" w:lineRule="auto"/>
            </w:pPr>
          </w:p>
          <w:p w14:paraId="5B698789" w14:textId="5B0C358B" w:rsidR="00572366" w:rsidRDefault="00572366" w:rsidP="00572366">
            <w:pPr>
              <w:spacing w:after="0" w:line="240" w:lineRule="auto"/>
            </w:pPr>
            <w:r w:rsidRPr="00572366">
              <w:t>Continueren van tenminste 4 keer/jaar uitbrengen van de LPAV-nieuwsbrief</w:t>
            </w:r>
          </w:p>
          <w:p w14:paraId="44F21430" w14:textId="77777777" w:rsidR="00572366" w:rsidRDefault="00572366" w:rsidP="00572366">
            <w:pPr>
              <w:spacing w:after="0" w:line="240" w:lineRule="auto"/>
            </w:pPr>
          </w:p>
          <w:p w14:paraId="32A8FF06" w14:textId="34A6EE60" w:rsidR="00572366" w:rsidRDefault="00572366" w:rsidP="00572366">
            <w:pPr>
              <w:spacing w:after="0" w:line="240" w:lineRule="auto"/>
            </w:pPr>
            <w:r w:rsidRPr="00572366">
              <w:t>Organisatie van de Voorjaarscursus tijdens de Week van de Pathologie op 11 en 12 april. Onderwerp: gastro-intestinale pathologie (specifieke onderwerp volgt)</w:t>
            </w:r>
          </w:p>
          <w:p w14:paraId="2243C71E" w14:textId="77777777" w:rsidR="00572366" w:rsidRDefault="00572366" w:rsidP="00572366">
            <w:pPr>
              <w:spacing w:after="0" w:line="240" w:lineRule="auto"/>
            </w:pPr>
          </w:p>
          <w:p w14:paraId="6D57F5F4" w14:textId="053472FC" w:rsidR="00572366" w:rsidRDefault="00572366" w:rsidP="00572366">
            <w:pPr>
              <w:spacing w:after="0" w:line="240" w:lineRule="auto"/>
            </w:pPr>
            <w:r w:rsidRPr="00572366">
              <w:t xml:space="preserve">Organisatie van </w:t>
            </w:r>
            <w:r w:rsidR="009117A2">
              <w:t>DOO in combinatie met het</w:t>
            </w:r>
            <w:r w:rsidRPr="00572366">
              <w:t xml:space="preserve"> LPAV-Lustrum</w:t>
            </w:r>
          </w:p>
          <w:p w14:paraId="2C7CB197" w14:textId="77777777" w:rsidR="00572366" w:rsidRDefault="00572366" w:rsidP="00572366">
            <w:pPr>
              <w:spacing w:after="0" w:line="240" w:lineRule="auto"/>
            </w:pPr>
          </w:p>
          <w:p w14:paraId="6A7B5B48" w14:textId="193A19D7" w:rsidR="00572366" w:rsidRDefault="00572366" w:rsidP="007663C0">
            <w:pPr>
              <w:spacing w:after="0" w:line="240" w:lineRule="auto"/>
            </w:pPr>
            <w:r>
              <w:t>Deelname aan de NVVP-beleidsdag 2024</w:t>
            </w:r>
          </w:p>
        </w:tc>
      </w:tr>
    </w:tbl>
    <w:p w14:paraId="7EC66A6A" w14:textId="77777777" w:rsidR="00997B15" w:rsidRDefault="00997B15"/>
    <w:sectPr w:rsidR="00997B15" w:rsidSect="00027D61">
      <w:pgSz w:w="16840" w:h="11900" w:orient="landscape"/>
      <w:pgMar w:top="1440" w:right="1531" w:bottom="1440"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D4036B" w16cex:dateUtc="2024-02-27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2D384" w16cid:durableId="7BD403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6A"/>
    <w:rsid w:val="00004B6A"/>
    <w:rsid w:val="00027D61"/>
    <w:rsid w:val="00075403"/>
    <w:rsid w:val="001660F7"/>
    <w:rsid w:val="001B001C"/>
    <w:rsid w:val="001F3B0A"/>
    <w:rsid w:val="00200E4A"/>
    <w:rsid w:val="003A2A30"/>
    <w:rsid w:val="003A67E7"/>
    <w:rsid w:val="0048428C"/>
    <w:rsid w:val="00501292"/>
    <w:rsid w:val="00572366"/>
    <w:rsid w:val="00657462"/>
    <w:rsid w:val="006726D2"/>
    <w:rsid w:val="007663C0"/>
    <w:rsid w:val="00782002"/>
    <w:rsid w:val="00795FB6"/>
    <w:rsid w:val="00806084"/>
    <w:rsid w:val="00835E5E"/>
    <w:rsid w:val="00893898"/>
    <w:rsid w:val="009117A2"/>
    <w:rsid w:val="00936960"/>
    <w:rsid w:val="00997B15"/>
    <w:rsid w:val="009F42C6"/>
    <w:rsid w:val="00A30607"/>
    <w:rsid w:val="00BD34E3"/>
    <w:rsid w:val="00C800B6"/>
    <w:rsid w:val="00C847C2"/>
    <w:rsid w:val="00FC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3623"/>
  <w15:chartTrackingRefBased/>
  <w15:docId w15:val="{29E49347-1C96-9C41-8F90-64C63628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imes New Roman (Hoofdtekst CS)"/>
        <w:kern w:val="2"/>
        <w:sz w:val="22"/>
        <w:szCs w:val="22"/>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4B6A"/>
    <w:pPr>
      <w:spacing w:after="160" w:line="259" w:lineRule="auto"/>
    </w:pPr>
    <w:rPr>
      <w:rFonts w:asciiTheme="minorHAnsi" w:hAnsiTheme="minorHAnsi" w:cstheme="minorBidi"/>
    </w:rPr>
  </w:style>
  <w:style w:type="paragraph" w:styleId="Kop2">
    <w:name w:val="heading 2"/>
    <w:basedOn w:val="Standaard"/>
    <w:next w:val="Standaard"/>
    <w:link w:val="Kop2Char"/>
    <w:uiPriority w:val="9"/>
    <w:unhideWhenUsed/>
    <w:qFormat/>
    <w:rsid w:val="00004B6A"/>
    <w:pPr>
      <w:spacing w:after="0" w:line="240" w:lineRule="auto"/>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04B6A"/>
    <w:rPr>
      <w:rFonts w:asciiTheme="minorHAnsi" w:hAnsiTheme="minorHAnsi" w:cstheme="minorBidi"/>
      <w:b/>
      <w:bCs/>
      <w:sz w:val="36"/>
      <w:szCs w:val="36"/>
    </w:rPr>
  </w:style>
  <w:style w:type="table" w:styleId="Tabelraster">
    <w:name w:val="Table Grid"/>
    <w:basedOn w:val="Standaardtabel"/>
    <w:uiPriority w:val="39"/>
    <w:rsid w:val="00004B6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8428C"/>
    <w:rPr>
      <w:sz w:val="16"/>
      <w:szCs w:val="16"/>
    </w:rPr>
  </w:style>
  <w:style w:type="paragraph" w:styleId="Tekstopmerking">
    <w:name w:val="annotation text"/>
    <w:basedOn w:val="Standaard"/>
    <w:link w:val="TekstopmerkingChar"/>
    <w:uiPriority w:val="99"/>
    <w:unhideWhenUsed/>
    <w:rsid w:val="0048428C"/>
    <w:pPr>
      <w:spacing w:line="240" w:lineRule="auto"/>
    </w:pPr>
    <w:rPr>
      <w:sz w:val="20"/>
      <w:szCs w:val="20"/>
    </w:rPr>
  </w:style>
  <w:style w:type="character" w:customStyle="1" w:styleId="TekstopmerkingChar">
    <w:name w:val="Tekst opmerking Char"/>
    <w:basedOn w:val="Standaardalinea-lettertype"/>
    <w:link w:val="Tekstopmerking"/>
    <w:uiPriority w:val="99"/>
    <w:rsid w:val="0048428C"/>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48428C"/>
    <w:rPr>
      <w:b/>
      <w:bCs/>
    </w:rPr>
  </w:style>
  <w:style w:type="character" w:customStyle="1" w:styleId="OnderwerpvanopmerkingChar">
    <w:name w:val="Onderwerp van opmerking Char"/>
    <w:basedOn w:val="TekstopmerkingChar"/>
    <w:link w:val="Onderwerpvanopmerking"/>
    <w:uiPriority w:val="99"/>
    <w:semiHidden/>
    <w:rsid w:val="0048428C"/>
    <w:rPr>
      <w:rFonts w:asciiTheme="minorHAnsi" w:hAnsiTheme="minorHAnsi" w:cstheme="minorBidi"/>
      <w:b/>
      <w:bCs/>
      <w:sz w:val="20"/>
      <w:szCs w:val="20"/>
    </w:rPr>
  </w:style>
  <w:style w:type="paragraph" w:styleId="Ballontekst">
    <w:name w:val="Balloon Text"/>
    <w:basedOn w:val="Standaard"/>
    <w:link w:val="BallontekstChar"/>
    <w:uiPriority w:val="99"/>
    <w:semiHidden/>
    <w:unhideWhenUsed/>
    <w:rsid w:val="007663C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8.svg"/><Relationship Id="rId5" Type="http://schemas.openxmlformats.org/officeDocument/2006/relationships/image" Target="media/image2.svg"/><Relationship Id="rId15" Type="http://schemas.microsoft.com/office/2018/08/relationships/commentsExtensible" Target="commentsExtensi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6.sv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van Tilburg-van Hedel</dc:creator>
  <cp:keywords/>
  <dc:description/>
  <cp:lastModifiedBy>Jong, G. de (Greta)</cp:lastModifiedBy>
  <cp:revision>2</cp:revision>
  <dcterms:created xsi:type="dcterms:W3CDTF">2024-03-22T16:15:00Z</dcterms:created>
  <dcterms:modified xsi:type="dcterms:W3CDTF">2024-03-22T16:15:00Z</dcterms:modified>
</cp:coreProperties>
</file>